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819C" w14:textId="77777777" w:rsidR="000E0811" w:rsidRDefault="000E0811">
      <w:pPr>
        <w:rPr>
          <w:lang w:val="en-US"/>
        </w:rPr>
      </w:pPr>
    </w:p>
    <w:p w14:paraId="6459B5E4" w14:textId="77777777" w:rsidR="00387A32" w:rsidRDefault="00387A32">
      <w:pPr>
        <w:rPr>
          <w:lang w:val="en-US"/>
        </w:rPr>
      </w:pPr>
    </w:p>
    <w:p w14:paraId="066CFC97" w14:textId="77777777" w:rsidR="00387A32" w:rsidRDefault="00387A32">
      <w:pPr>
        <w:rPr>
          <w:lang w:val="en-US"/>
        </w:rPr>
      </w:pPr>
    </w:p>
    <w:p w14:paraId="3A0DB9AC" w14:textId="77777777" w:rsidR="00387A32" w:rsidRDefault="00387A32">
      <w:pPr>
        <w:rPr>
          <w:lang w:val="en-US"/>
        </w:rPr>
      </w:pPr>
    </w:p>
    <w:p w14:paraId="16B3FCF2" w14:textId="77777777" w:rsidR="00387A32" w:rsidRPr="00387A32" w:rsidRDefault="00387A32" w:rsidP="00387A32">
      <w:r w:rsidRPr="00387A32">
        <w:rPr>
          <w:b/>
          <w:bCs/>
        </w:rPr>
        <w:t xml:space="preserve">Camera - (C. 1382) </w:t>
      </w:r>
      <w:proofErr w:type="spellStart"/>
      <w:r w:rsidRPr="00387A32">
        <w:rPr>
          <w:b/>
          <w:bCs/>
        </w:rPr>
        <w:t>ddl</w:t>
      </w:r>
      <w:proofErr w:type="spellEnd"/>
      <w:r w:rsidRPr="00387A32">
        <w:rPr>
          <w:b/>
          <w:bCs/>
        </w:rPr>
        <w:t xml:space="preserve"> di Mollicone (</w:t>
      </w:r>
      <w:proofErr w:type="spellStart"/>
      <w:r w:rsidRPr="00387A32">
        <w:rPr>
          <w:b/>
          <w:bCs/>
        </w:rPr>
        <w:t>FdI</w:t>
      </w:r>
      <w:proofErr w:type="spellEnd"/>
      <w:r w:rsidRPr="00387A32">
        <w:rPr>
          <w:b/>
          <w:bCs/>
        </w:rPr>
        <w:t>) con disposizioni per il sostegno delle attività teatrali negli istituti penitenziari: iniziato l'esame referente in commissione Giustizia. Analisi dei contenuti</w:t>
      </w:r>
      <w:r w:rsidRPr="00387A32">
        <w:br/>
      </w:r>
      <w:r w:rsidRPr="00387A32">
        <w:br/>
      </w:r>
    </w:p>
    <w:p w14:paraId="11FB960D" w14:textId="77777777" w:rsidR="00387A32" w:rsidRPr="00387A32" w:rsidRDefault="00387A32" w:rsidP="00387A32">
      <w:pPr>
        <w:numPr>
          <w:ilvl w:val="0"/>
          <w:numId w:val="1"/>
        </w:numPr>
      </w:pPr>
      <w:r w:rsidRPr="00387A32">
        <w:rPr>
          <w:b/>
          <w:bCs/>
        </w:rPr>
        <w:t>In breve:</w:t>
      </w:r>
      <w:r w:rsidRPr="00387A32">
        <w:t> presentata in commissione Giustizia della Camera la proposta di legge di Federico Mollicone (</w:t>
      </w:r>
      <w:proofErr w:type="spellStart"/>
      <w:r w:rsidRPr="00387A32">
        <w:t>FdI</w:t>
      </w:r>
      <w:proofErr w:type="spellEnd"/>
      <w:r w:rsidRPr="00387A32">
        <w:t>, </w:t>
      </w:r>
      <w:hyperlink r:id="rId5" w:tgtFrame="_blank" w:history="1">
        <w:r w:rsidRPr="00387A32">
          <w:rPr>
            <w:rStyle w:val="Collegamentoipertestuale"/>
          </w:rPr>
          <w:t>C. 1382</w:t>
        </w:r>
      </w:hyperlink>
      <w:r w:rsidRPr="00387A32">
        <w:t>), abbinata a quella di Raffaele Bruno (M5S, </w:t>
      </w:r>
      <w:hyperlink r:id="rId6" w:tgtFrame="_blank" w:history="1">
        <w:r w:rsidRPr="00387A32">
          <w:rPr>
            <w:rStyle w:val="Collegamentoipertestuale"/>
          </w:rPr>
          <w:t>C. 474</w:t>
        </w:r>
      </w:hyperlink>
      <w:r w:rsidRPr="00387A32">
        <w:t>), con disposizioni per il sostegno delle attività teatrali negli istituti penitenziari. Prevede la creazione di un Osservatorio presso il dipartimento dell'amministrazione penitenziaria (DAP) del ministero della Giustizia e di un Tavolo tecnico sul teatro sociale, spazi dedicati al teatro negli istituti e un Fondo da 2 milioni di euro annui (2023-2025) per finanziare progetti e percorsi artistici.</w:t>
      </w:r>
    </w:p>
    <w:p w14:paraId="7BB824CB" w14:textId="77777777" w:rsidR="00387A32" w:rsidRPr="00387A32" w:rsidRDefault="00387A32" w:rsidP="00387A32">
      <w:r w:rsidRPr="00387A32">
        <w:br/>
      </w:r>
      <w:r w:rsidRPr="00387A32">
        <w:br/>
      </w:r>
    </w:p>
    <w:p w14:paraId="6268892A" w14:textId="77777777" w:rsidR="00387A32" w:rsidRPr="00387A32" w:rsidRDefault="00387A32" w:rsidP="00387A32">
      <w:r w:rsidRPr="00387A32">
        <w:t>È iniziato con l'illustrazione dei contenuti in </w:t>
      </w:r>
      <w:r w:rsidRPr="00387A32">
        <w:rPr>
          <w:b/>
          <w:bCs/>
        </w:rPr>
        <w:t>commissione Giustizia </w:t>
      </w:r>
      <w:r w:rsidRPr="00387A32">
        <w:t>l'esame referente in prima lettura della proposta di legge di </w:t>
      </w:r>
      <w:r w:rsidRPr="00387A32">
        <w:rPr>
          <w:b/>
          <w:bCs/>
        </w:rPr>
        <w:t>Federico Mollicone</w:t>
      </w:r>
      <w:r w:rsidRPr="00387A32">
        <w:t> (</w:t>
      </w:r>
      <w:proofErr w:type="spellStart"/>
      <w:r w:rsidRPr="00387A32">
        <w:t>FdI</w:t>
      </w:r>
      <w:proofErr w:type="spellEnd"/>
      <w:r w:rsidRPr="00387A32">
        <w:t>, presidente della commissione Cultura) con disposizioni per il </w:t>
      </w:r>
      <w:r w:rsidRPr="00387A32">
        <w:rPr>
          <w:b/>
          <w:bCs/>
        </w:rPr>
        <w:t>sostegno delle attività teatrali negli istituti penitenziar</w:t>
      </w:r>
      <w:r w:rsidRPr="00387A32">
        <w:t>i (</w:t>
      </w:r>
      <w:hyperlink r:id="rId7" w:tgtFrame="_blank" w:history="1">
        <w:r w:rsidRPr="00387A32">
          <w:rPr>
            <w:rStyle w:val="Collegamentoipertestuale"/>
          </w:rPr>
          <w:t>C. 1382</w:t>
        </w:r>
      </w:hyperlink>
      <w:r w:rsidRPr="00387A32">
        <w:t>), alla quale è abbinata una proposta del deputato del Movimento 5 stelle Raffaele Bruno (</w:t>
      </w:r>
      <w:hyperlink r:id="rId8" w:tgtFrame="_blank" w:history="1">
        <w:r w:rsidRPr="00387A32">
          <w:rPr>
            <w:rStyle w:val="Collegamentoipertestuale"/>
          </w:rPr>
          <w:t>C. 474</w:t>
        </w:r>
      </w:hyperlink>
      <w:r w:rsidRPr="00387A32">
        <w:t>).</w:t>
      </w:r>
    </w:p>
    <w:p w14:paraId="5F62EF31" w14:textId="77777777" w:rsidR="00387A32" w:rsidRPr="00387A32" w:rsidRDefault="00387A32" w:rsidP="00387A32">
      <w:r w:rsidRPr="00387A32">
        <w:t>Si segnala che nel corso della precedente legislatura era stata presentata una proposta di legge sullo stesso tema sempre a firma di Bruno (C. 2933 della XVIII legislatura), senza però che si giungesse alla conclusione dell'esame referente. Il testo che è risultato dagli emendamenti approvati è sostanzialmente confluito - secondo quanto spiegato dal presidente della commissione Giustizia Ciro Maschio (</w:t>
      </w:r>
      <w:proofErr w:type="spellStart"/>
      <w:r w:rsidRPr="00387A32">
        <w:t>FdI</w:t>
      </w:r>
      <w:proofErr w:type="spellEnd"/>
      <w:r w:rsidRPr="00387A32">
        <w:t>) - in entrambi i provvedimenti di cui è iniziato l'esame, che infatti - ha proseguito Maschio - sono in larga parte sovrapponibili.</w:t>
      </w:r>
    </w:p>
    <w:p w14:paraId="717F09F5" w14:textId="77777777" w:rsidR="00387A32" w:rsidRPr="00387A32" w:rsidRDefault="00387A32" w:rsidP="00387A32">
      <w:r w:rsidRPr="00387A32">
        <w:rPr>
          <w:u w:val="single"/>
        </w:rPr>
        <w:t>Di seguito l'analisi dei contenuti della proposta di Mollicone.</w:t>
      </w:r>
    </w:p>
    <w:p w14:paraId="31ADF012" w14:textId="77777777" w:rsidR="00387A32" w:rsidRPr="00387A32" w:rsidRDefault="00387A32" w:rsidP="00387A32">
      <w:r w:rsidRPr="00387A32">
        <w:t>L'</w:t>
      </w:r>
      <w:r w:rsidRPr="00387A32">
        <w:rPr>
          <w:b/>
          <w:bCs/>
        </w:rPr>
        <w:t>articolo 1</w:t>
      </w:r>
      <w:r w:rsidRPr="00387A32">
        <w:t xml:space="preserve"> stabilisce che le finalità della </w:t>
      </w:r>
      <w:proofErr w:type="spellStart"/>
      <w:r w:rsidRPr="00387A32">
        <w:t>pdl</w:t>
      </w:r>
      <w:proofErr w:type="spellEnd"/>
      <w:r w:rsidRPr="00387A32">
        <w:t xml:space="preserve"> sono la </w:t>
      </w:r>
      <w:r w:rsidRPr="00387A32">
        <w:rPr>
          <w:b/>
          <w:bCs/>
        </w:rPr>
        <w:t>promozione e il sostegno delle attività teatrali negli istituti penitenziari</w:t>
      </w:r>
      <w:r w:rsidRPr="00387A32">
        <w:t>, compresi quelli per minorenni, con lo scopo di contribuire al recupero e al reinserimento sociale e lavorativo dei detenuti. Inoltre, è prevista la promozione della collaborazione tra l'amministrazione penitenziaria, </w:t>
      </w:r>
      <w:r w:rsidRPr="00387A32">
        <w:rPr>
          <w:b/>
          <w:bCs/>
        </w:rPr>
        <w:t>imprese sociali</w:t>
      </w:r>
      <w:r w:rsidRPr="00387A32">
        <w:t> ed </w:t>
      </w:r>
      <w:r w:rsidRPr="00387A32">
        <w:rPr>
          <w:b/>
          <w:bCs/>
        </w:rPr>
        <w:t>enti e associazioni</w:t>
      </w:r>
      <w:r w:rsidRPr="00387A32">
        <w:t> per svolgere iniziative di informazione e di sensibilizzazione e attivare corsi di formazione e di aggiornamento, con particolare riguardo ai minorenni. Viene istituito inoltre un Osservatorio apposito presso il dipartimento dell'amministrazione penitenziaria del ministero della Giustizia, all'interno del quale dovrà operare un Tavolo tecnico per lo sviluppo e la realizzazione delle attività teatrali. L'Osservatorio, tra le altre cose, avrà il compito di promuovere la conoscenza delle attività teatrali realizzate negli istituti presso i cittadini, le istituzioni, gli enti del Terzo settore e gli organismi con o senza fini di lucro.</w:t>
      </w:r>
    </w:p>
    <w:p w14:paraId="78DFA3F3" w14:textId="77777777" w:rsidR="00387A32" w:rsidRPr="00387A32" w:rsidRDefault="00387A32" w:rsidP="00387A32">
      <w:r w:rsidRPr="00387A32">
        <w:t>L'</w:t>
      </w:r>
      <w:r w:rsidRPr="00387A32">
        <w:rPr>
          <w:b/>
          <w:bCs/>
        </w:rPr>
        <w:t>articolo 2</w:t>
      </w:r>
      <w:r w:rsidRPr="00387A32">
        <w:t> prevede l'individuazione, presso gli istituti penitenziari che ne sono sprovvisti, di appositi spazi dedicati alle attività teatrali e allo sviluppo di percorsi artistici per l'inserimento lavorativo dei detenuti. A questo scopo è destinata una quota delle risorse previste dalla legge di bilancio 2021 per interventi straordinari di ampliamento e ammodernamento degli spazi e delle attrezzature destinati al lavoro dei detenuti.</w:t>
      </w:r>
    </w:p>
    <w:p w14:paraId="36A19112" w14:textId="77777777" w:rsidR="00387A32" w:rsidRPr="00387A32" w:rsidRDefault="00387A32" w:rsidP="00387A32">
      <w:r w:rsidRPr="00387A32">
        <w:lastRenderedPageBreak/>
        <w:t>L'</w:t>
      </w:r>
      <w:r w:rsidRPr="00387A32">
        <w:rPr>
          <w:b/>
          <w:bCs/>
        </w:rPr>
        <w:t>articolo 3</w:t>
      </w:r>
      <w:r w:rsidRPr="00387A32">
        <w:t> istituisce un </w:t>
      </w:r>
      <w:r w:rsidRPr="00387A32">
        <w:rPr>
          <w:b/>
          <w:bCs/>
        </w:rPr>
        <w:t>Tavolo tecnico sul teatro sociale </w:t>
      </w:r>
      <w:r w:rsidRPr="00387A32">
        <w:t>da costituire</w:t>
      </w:r>
      <w:r w:rsidRPr="00387A32">
        <w:rPr>
          <w:b/>
          <w:bCs/>
        </w:rPr>
        <w:t> </w:t>
      </w:r>
      <w:r w:rsidRPr="00387A32">
        <w:t>entro tre mesi dall'entrata in vigore della legge. L'organismo opera sotto il controllo del ministero della Cultura ed è composto da: esperti in materia di teatro sociale, rappresentanti dei Comuni e da un rappresentante per ciascuno dei dicasteri della Cultura, del Lavoro, dell'Economia e dell'Interno. Il Tavolo può avvalersi della collaborazione di istituti universitari, di enti dello spettacolo, di esperti in materia di teatro sociale e può organizzarsi in commissioni tecnico-artistiche di settore.</w:t>
      </w:r>
    </w:p>
    <w:p w14:paraId="6F4739AD" w14:textId="77777777" w:rsidR="00387A32" w:rsidRPr="00387A32" w:rsidRDefault="00387A32" w:rsidP="00387A32">
      <w:r w:rsidRPr="00387A32">
        <w:t>L'</w:t>
      </w:r>
      <w:r w:rsidRPr="00387A32">
        <w:rPr>
          <w:b/>
          <w:bCs/>
        </w:rPr>
        <w:t>articolo 4</w:t>
      </w:r>
      <w:r w:rsidRPr="00387A32">
        <w:t> prevede infine l'istituzione di un </w:t>
      </w:r>
      <w:r w:rsidRPr="00387A32">
        <w:rPr>
          <w:b/>
          <w:bCs/>
        </w:rPr>
        <w:t>Fondo </w:t>
      </w:r>
      <w:r w:rsidRPr="00387A32">
        <w:t>per la promozione del teatro sociale con una dotazione di </w:t>
      </w:r>
      <w:r w:rsidRPr="00387A32">
        <w:rPr>
          <w:b/>
          <w:bCs/>
        </w:rPr>
        <w:t>2 milioni</w:t>
      </w:r>
      <w:r w:rsidRPr="00387A32">
        <w:t> di euro per ciascuno degli anni 2023, 2024 e 2025.</w:t>
      </w:r>
    </w:p>
    <w:p w14:paraId="728A13D2" w14:textId="77777777" w:rsidR="00387A32" w:rsidRPr="00387A32" w:rsidRDefault="00387A32"/>
    <w:sectPr w:rsidR="00387A32" w:rsidRPr="00387A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84840"/>
    <w:multiLevelType w:val="multilevel"/>
    <w:tmpl w:val="F192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46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32"/>
    <w:rsid w:val="000379A7"/>
    <w:rsid w:val="00094471"/>
    <w:rsid w:val="000E0811"/>
    <w:rsid w:val="00387A32"/>
    <w:rsid w:val="00AF5B1A"/>
    <w:rsid w:val="00EA2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F5B1"/>
  <w15:chartTrackingRefBased/>
  <w15:docId w15:val="{AFFF17B7-D43D-4063-81A8-5B014096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7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87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87A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87A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87A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87A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7A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7A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7A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7A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87A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87A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87A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87A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87A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7A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7A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7A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7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7A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7A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7A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7A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7A32"/>
    <w:rPr>
      <w:i/>
      <w:iCs/>
      <w:color w:val="404040" w:themeColor="text1" w:themeTint="BF"/>
    </w:rPr>
  </w:style>
  <w:style w:type="paragraph" w:styleId="Paragrafoelenco">
    <w:name w:val="List Paragraph"/>
    <w:basedOn w:val="Normale"/>
    <w:uiPriority w:val="34"/>
    <w:qFormat/>
    <w:rsid w:val="00387A32"/>
    <w:pPr>
      <w:ind w:left="720"/>
      <w:contextualSpacing/>
    </w:pPr>
  </w:style>
  <w:style w:type="character" w:styleId="Enfasiintensa">
    <w:name w:val="Intense Emphasis"/>
    <w:basedOn w:val="Carpredefinitoparagrafo"/>
    <w:uiPriority w:val="21"/>
    <w:qFormat/>
    <w:rsid w:val="00387A32"/>
    <w:rPr>
      <w:i/>
      <w:iCs/>
      <w:color w:val="2F5496" w:themeColor="accent1" w:themeShade="BF"/>
    </w:rPr>
  </w:style>
  <w:style w:type="paragraph" w:styleId="Citazioneintensa">
    <w:name w:val="Intense Quote"/>
    <w:basedOn w:val="Normale"/>
    <w:next w:val="Normale"/>
    <w:link w:val="CitazioneintensaCarattere"/>
    <w:uiPriority w:val="30"/>
    <w:qFormat/>
    <w:rsid w:val="00387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87A32"/>
    <w:rPr>
      <w:i/>
      <w:iCs/>
      <w:color w:val="2F5496" w:themeColor="accent1" w:themeShade="BF"/>
    </w:rPr>
  </w:style>
  <w:style w:type="character" w:styleId="Riferimentointenso">
    <w:name w:val="Intense Reference"/>
    <w:basedOn w:val="Carpredefinitoparagrafo"/>
    <w:uiPriority w:val="32"/>
    <w:qFormat/>
    <w:rsid w:val="00387A32"/>
    <w:rPr>
      <w:b/>
      <w:bCs/>
      <w:smallCaps/>
      <w:color w:val="2F5496" w:themeColor="accent1" w:themeShade="BF"/>
      <w:spacing w:val="5"/>
    </w:rPr>
  </w:style>
  <w:style w:type="character" w:styleId="Collegamentoipertestuale">
    <w:name w:val="Hyperlink"/>
    <w:basedOn w:val="Carpredefinitoparagrafo"/>
    <w:uiPriority w:val="99"/>
    <w:unhideWhenUsed/>
    <w:rsid w:val="00387A32"/>
    <w:rPr>
      <w:color w:val="0563C1" w:themeColor="hyperlink"/>
      <w:u w:val="single"/>
    </w:rPr>
  </w:style>
  <w:style w:type="character" w:styleId="Menzionenonrisolta">
    <w:name w:val="Unresolved Mention"/>
    <w:basedOn w:val="Carpredefinitoparagrafo"/>
    <w:uiPriority w:val="99"/>
    <w:semiHidden/>
    <w:unhideWhenUsed/>
    <w:rsid w:val="0038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era.it/leg19/126?leg=19&amp;idDocumento=474&amp;ancora=" TargetMode="External"/><Relationship Id="rId3" Type="http://schemas.openxmlformats.org/officeDocument/2006/relationships/settings" Target="settings.xml"/><Relationship Id="rId7" Type="http://schemas.openxmlformats.org/officeDocument/2006/relationships/hyperlink" Target="https://documenti.camera.it/leg19/pdl/pdf/leg.19.pdl.camera.1382.19PDL00512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era.it/leg19/126?leg=19&amp;idDocumento=474&amp;ancora=" TargetMode="External"/><Relationship Id="rId5" Type="http://schemas.openxmlformats.org/officeDocument/2006/relationships/hyperlink" Target="https://documenti.camera.it/leg19/pdl/pdf/leg.19.pdl.camera.1382.19PDL005122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 Legacoopsociali</dc:creator>
  <cp:keywords/>
  <dc:description/>
  <cp:lastModifiedBy>Ufficio Stampa Legacoopsociali</cp:lastModifiedBy>
  <cp:revision>1</cp:revision>
  <dcterms:created xsi:type="dcterms:W3CDTF">2025-09-04T08:15:00Z</dcterms:created>
  <dcterms:modified xsi:type="dcterms:W3CDTF">2025-09-04T08:16:00Z</dcterms:modified>
</cp:coreProperties>
</file>