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E2C" w14:textId="77777777" w:rsidR="000E0811" w:rsidRDefault="000E0811">
      <w:pPr>
        <w:rPr>
          <w:lang w:val="en-US"/>
        </w:rPr>
      </w:pPr>
    </w:p>
    <w:p w14:paraId="4ACEF600" w14:textId="77777777" w:rsidR="008E662B" w:rsidRDefault="008E662B">
      <w:pPr>
        <w:rPr>
          <w:lang w:val="en-US"/>
        </w:rPr>
      </w:pPr>
    </w:p>
    <w:p w14:paraId="6A0B51B1" w14:textId="77777777" w:rsidR="008E662B" w:rsidRDefault="008E662B">
      <w:pPr>
        <w:rPr>
          <w:lang w:val="en-US"/>
        </w:rPr>
      </w:pPr>
    </w:p>
    <w:p w14:paraId="5F74C283" w14:textId="77777777" w:rsidR="008E662B" w:rsidRDefault="008E662B">
      <w:pPr>
        <w:rPr>
          <w:lang w:val="en-US"/>
        </w:rPr>
      </w:pPr>
    </w:p>
    <w:p w14:paraId="4E33B438" w14:textId="77777777" w:rsidR="008E662B" w:rsidRPr="008E662B" w:rsidRDefault="008E662B" w:rsidP="008E662B">
      <w:pPr>
        <w:numPr>
          <w:ilvl w:val="0"/>
          <w:numId w:val="1"/>
        </w:numPr>
      </w:pPr>
      <w:r w:rsidRPr="008E662B">
        <w:rPr>
          <w:b/>
          <w:bCs/>
          <w:u w:val="single"/>
          <w:lang w:val="en-US"/>
        </w:rPr>
        <w:t xml:space="preserve">Bando </w:t>
      </w:r>
      <w:proofErr w:type="spellStart"/>
      <w:r w:rsidRPr="008E662B">
        <w:rPr>
          <w:b/>
          <w:bCs/>
          <w:u w:val="single"/>
          <w:lang w:val="en-US"/>
        </w:rPr>
        <w:t>Inps</w:t>
      </w:r>
      <w:proofErr w:type="spellEnd"/>
      <w:r w:rsidRPr="008E662B">
        <w:rPr>
          <w:b/>
          <w:bCs/>
          <w:u w:val="single"/>
          <w:lang w:val="en-US"/>
        </w:rPr>
        <w:t xml:space="preserve"> Home care premium</w:t>
      </w:r>
      <w:r w:rsidRPr="008E662B">
        <w:rPr>
          <w:b/>
          <w:bCs/>
          <w:lang w:val="en-US"/>
        </w:rPr>
        <w:t>.</w:t>
      </w:r>
      <w:r w:rsidRPr="008E662B">
        <w:rPr>
          <w:lang w:val="en-US"/>
        </w:rPr>
        <w:t> </w:t>
      </w:r>
      <w:r w:rsidRPr="008E662B">
        <w:t xml:space="preserve">Silvio Lai (AVS) ha depositato alla Camera un'interrogazione rivolta alla ministra del Lavoro </w:t>
      </w:r>
      <w:r w:rsidRPr="008E662B">
        <w:rPr>
          <w:b/>
          <w:bCs/>
        </w:rPr>
        <w:t>Marina Elvira Calderone</w:t>
      </w:r>
      <w:r w:rsidRPr="008E662B">
        <w:t xml:space="preserve"> in cui chiede di risolvere i problemi operativi della piattaforma Inps implementata nell'ambito del bando</w:t>
      </w:r>
      <w:r w:rsidRPr="008E662B">
        <w:rPr>
          <w:b/>
          <w:bCs/>
        </w:rPr>
        <w:t> Home care premium</w:t>
      </w:r>
      <w:r w:rsidRPr="008E662B">
        <w:t> (</w:t>
      </w:r>
      <w:proofErr w:type="spellStart"/>
      <w:r w:rsidRPr="008E662B">
        <w:t>Hcp</w:t>
      </w:r>
      <w:proofErr w:type="spellEnd"/>
      <w:r w:rsidRPr="008E662B">
        <w:t xml:space="preserve">) 2025-2028 segnalati dalle organizzazioni della cooperazione sociale, con particolare riferimento alle difficoltà di accreditamento per i </w:t>
      </w:r>
      <w:r w:rsidRPr="008E662B">
        <w:rPr>
          <w:b/>
          <w:bCs/>
        </w:rPr>
        <w:t>dipendenti delle cooperative sociali</w:t>
      </w:r>
      <w:r w:rsidRPr="008E662B">
        <w:t>.</w:t>
      </w:r>
    </w:p>
    <w:p w14:paraId="3095B24B" w14:textId="77777777" w:rsidR="008E662B" w:rsidRPr="008E662B" w:rsidRDefault="008E662B" w:rsidP="008E662B">
      <w:pPr>
        <w:numPr>
          <w:ilvl w:val="0"/>
          <w:numId w:val="1"/>
        </w:numPr>
      </w:pPr>
      <w:r w:rsidRPr="008E662B">
        <w:rPr>
          <w:b/>
          <w:bCs/>
          <w:u w:val="single"/>
        </w:rPr>
        <w:t>Dipendenze patologiche</w:t>
      </w:r>
      <w:r w:rsidRPr="008E662B">
        <w:rPr>
          <w:b/>
          <w:bCs/>
        </w:rPr>
        <w:t>.</w:t>
      </w:r>
      <w:r w:rsidRPr="008E662B">
        <w:t xml:space="preserve"> Un decreto del ministero della Salute, pubblicato sulla Gazzetta </w:t>
      </w:r>
      <w:proofErr w:type="spellStart"/>
      <w:r w:rsidRPr="008E662B">
        <w:t>ufficile</w:t>
      </w:r>
      <w:proofErr w:type="spellEnd"/>
      <w:r w:rsidRPr="008E662B">
        <w:t xml:space="preserve">, contiene il riparto tra le </w:t>
      </w:r>
      <w:r w:rsidRPr="008E662B">
        <w:rPr>
          <w:b/>
          <w:bCs/>
        </w:rPr>
        <w:t>Regioni</w:t>
      </w:r>
      <w:r w:rsidRPr="008E662B">
        <w:t xml:space="preserve"> del </w:t>
      </w:r>
      <w:r w:rsidRPr="008E662B">
        <w:rPr>
          <w:b/>
          <w:bCs/>
        </w:rPr>
        <w:t>Fondo per le dipendenze patologiche per il triennio 2025-2027</w:t>
      </w:r>
      <w:r w:rsidRPr="008E662B">
        <w:t>, che ammonta a 277,77 milioni di euro. Le Regioni devono redigere piani triennali per il contrasto a gioco d’azzardo e dipendenze, seguendo gli obiettivi nazionali. Il monitoraggio delle attività e dei finanziamenti è affidato a un Comitato tecnico.</w:t>
      </w:r>
    </w:p>
    <w:p w14:paraId="79E5BAF0" w14:textId="77777777" w:rsidR="008E662B" w:rsidRPr="008E662B" w:rsidRDefault="008E662B" w:rsidP="008E662B">
      <w:pPr>
        <w:numPr>
          <w:ilvl w:val="0"/>
          <w:numId w:val="1"/>
        </w:numPr>
      </w:pPr>
      <w:r w:rsidRPr="008E662B">
        <w:rPr>
          <w:b/>
          <w:bCs/>
          <w:u w:val="single"/>
        </w:rPr>
        <w:t>Cooperative</w:t>
      </w:r>
      <w:r w:rsidRPr="008E662B">
        <w:rPr>
          <w:b/>
          <w:bCs/>
        </w:rPr>
        <w:t xml:space="preserve">. </w:t>
      </w:r>
      <w:r w:rsidRPr="008E662B">
        <w:t>Il decreto direttoriale “</w:t>
      </w:r>
      <w:r w:rsidRPr="008E662B">
        <w:rPr>
          <w:b/>
          <w:bCs/>
        </w:rPr>
        <w:t>Nuova Marcora 2025</w:t>
      </w:r>
      <w:r w:rsidRPr="008E662B">
        <w:t xml:space="preserve">”, pubblicato sulla Gazzetta ufficiale lo scorso 11 agosto, introduce un nuovo </w:t>
      </w:r>
      <w:r w:rsidRPr="008E662B">
        <w:rPr>
          <w:b/>
          <w:bCs/>
        </w:rPr>
        <w:t>regime di aiuti per le cooperative piccole e medie</w:t>
      </w:r>
      <w:r w:rsidRPr="008E662B">
        <w:t xml:space="preserve">, sostituendo il provvedimento del 2021 sullo stesso tema. Prevede </w:t>
      </w:r>
      <w:r w:rsidRPr="008E662B">
        <w:rPr>
          <w:b/>
          <w:bCs/>
        </w:rPr>
        <w:t>finanziamenti agevolati</w:t>
      </w:r>
      <w:r w:rsidRPr="008E662B">
        <w:t xml:space="preserve"> per investimenti non avviati o esigenze di liquidità, da concludere entro 36 mesi. La domanda richiede un piano di attività e, se supera i 150mila euro, la dichiarazione antimafia; ogni cooperativa può accedere una sola volta ogni 36 mesi. Sono previsti obblighi di tracciabilità, rendicontazione triennale, controlli e regole dettagliate su revoca e recupero degli aiuti.</w:t>
      </w:r>
    </w:p>
    <w:p w14:paraId="7D418544" w14:textId="77777777" w:rsidR="008E662B" w:rsidRPr="008E662B" w:rsidRDefault="008E662B" w:rsidP="008E662B">
      <w:pPr>
        <w:numPr>
          <w:ilvl w:val="0"/>
          <w:numId w:val="1"/>
        </w:numPr>
      </w:pPr>
      <w:r w:rsidRPr="008E662B">
        <w:rPr>
          <w:b/>
          <w:bCs/>
        </w:rPr>
        <w:t>Sanità, solo 13 Regioni promosse sulle cure essenziali</w:t>
      </w:r>
      <w:r w:rsidRPr="008E662B">
        <w:t xml:space="preserve"> | Nel 2023 solo 13 regioni italiane hanno raggiunto gli standard per </w:t>
      </w:r>
      <w:hyperlink r:id="rId5" w:tgtFrame="_blank" w:history="1">
        <w:r w:rsidRPr="008E662B">
          <w:rPr>
            <w:rStyle w:val="Collegamentoipertestuale"/>
          </w:rPr>
          <w:t>l'erogazione delle cure essenziali</w:t>
        </w:r>
      </w:hyperlink>
      <w:r w:rsidRPr="008E662B">
        <w:t> garantite dal Servizio sanitario nazionale gratuitamente o previo pagamento del ticket, Veneto in testa. Al Sud sono promosse solo Puglia, Campania e Sardegna. Ma 8 regioni peggiorano rispetto al 2022 e "la frattura tra il Nord e il Sud del Paese non accenna a ridursi". Lo rileva la Fondazione Gimbe analizzando i dati della Relazione 2023 sul monitoraggio dei livelli essenziali di assistenza (Lea) attraverso il Nuovo Sistema di Garanzia.</w:t>
      </w:r>
    </w:p>
    <w:p w14:paraId="2D937D4E" w14:textId="77777777" w:rsidR="008E662B" w:rsidRPr="008E662B" w:rsidRDefault="008E662B"/>
    <w:sectPr w:rsidR="008E662B" w:rsidRPr="008E6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D4"/>
    <w:multiLevelType w:val="multilevel"/>
    <w:tmpl w:val="D67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840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2B"/>
    <w:rsid w:val="000379A7"/>
    <w:rsid w:val="00094471"/>
    <w:rsid w:val="000E0811"/>
    <w:rsid w:val="008E662B"/>
    <w:rsid w:val="00AF5B1A"/>
    <w:rsid w:val="00E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B829"/>
  <w15:chartTrackingRefBased/>
  <w15:docId w15:val="{6D13DB02-E446-4084-AFD4-C0B2D28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6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6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6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6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6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6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6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6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6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6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662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662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66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66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66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66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6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66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66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662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6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662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662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E66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stampa.it/cronaca/2025/09/03/news/cure_essenziali_divario_nord_sud_rapporto_gimbe-152933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Legacoopsociali</dc:creator>
  <cp:keywords/>
  <dc:description/>
  <cp:lastModifiedBy>Ufficio Stampa Legacoopsociali</cp:lastModifiedBy>
  <cp:revision>1</cp:revision>
  <dcterms:created xsi:type="dcterms:W3CDTF">2025-09-04T08:14:00Z</dcterms:created>
  <dcterms:modified xsi:type="dcterms:W3CDTF">2025-09-04T08:14:00Z</dcterms:modified>
</cp:coreProperties>
</file>